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D430" w14:textId="01D9DD8B" w:rsidR="00087C43" w:rsidRPr="00911B16" w:rsidRDefault="00087C43" w:rsidP="00087C43">
      <w:pPr>
        <w:rPr>
          <w:rFonts w:ascii="Arial" w:hAnsi="Arial" w:cs="Arial"/>
          <w:b/>
          <w:bCs/>
        </w:rPr>
      </w:pPr>
      <w:r w:rsidRPr="00911B16">
        <w:rPr>
          <w:rFonts w:ascii="Arial" w:hAnsi="Arial" w:cs="Arial"/>
          <w:b/>
          <w:bCs/>
        </w:rPr>
        <w:t>Categories of transition support</w:t>
      </w:r>
      <w:r w:rsidR="002F634F">
        <w:rPr>
          <w:rFonts w:ascii="Arial" w:hAnsi="Arial" w:cs="Arial"/>
          <w:b/>
          <w:bCs/>
        </w:rPr>
        <w:t xml:space="preserve"> used in Worcestershire Transition Toolkit</w:t>
      </w:r>
    </w:p>
    <w:p w14:paraId="3F8705B0" w14:textId="77777777" w:rsidR="00087C43" w:rsidRPr="00911B16" w:rsidRDefault="00087C43" w:rsidP="00087C43">
      <w:pPr>
        <w:rPr>
          <w:rFonts w:ascii="Arial" w:hAnsi="Arial" w:cs="Arial"/>
        </w:rPr>
      </w:pPr>
    </w:p>
    <w:p w14:paraId="450A252E" w14:textId="5D78A5AC" w:rsidR="00EA596E" w:rsidRDefault="00087C43" w:rsidP="00EA596E">
      <w:pPr>
        <w:rPr>
          <w:rFonts w:ascii="Arial" w:hAnsi="Arial" w:cs="Arial"/>
        </w:rPr>
      </w:pPr>
      <w:r w:rsidRPr="00911B16">
        <w:rPr>
          <w:rFonts w:ascii="Arial" w:hAnsi="Arial" w:cs="Arial"/>
        </w:rPr>
        <w:t>This document identifies three “categories” of transition, depending on the presenting need of the child, as outlined below</w:t>
      </w:r>
      <w:r w:rsidR="00EA596E">
        <w:rPr>
          <w:rFonts w:ascii="Arial" w:hAnsi="Arial" w:cs="Arial"/>
        </w:rPr>
        <w:t xml:space="preserve">. Please note that </w:t>
      </w:r>
      <w:r w:rsidR="002F634F">
        <w:rPr>
          <w:rFonts w:ascii="Arial" w:hAnsi="Arial" w:cs="Arial"/>
        </w:rPr>
        <w:t>when</w:t>
      </w:r>
      <w:r w:rsidR="00EA596E">
        <w:rPr>
          <w:rFonts w:ascii="Arial" w:hAnsi="Arial" w:cs="Arial"/>
        </w:rPr>
        <w:t xml:space="preserve"> considering transition, each child is different and their individual </w:t>
      </w:r>
      <w:r w:rsidR="002F634F">
        <w:rPr>
          <w:rFonts w:ascii="Arial" w:hAnsi="Arial" w:cs="Arial"/>
        </w:rPr>
        <w:t>personality</w:t>
      </w:r>
      <w:r w:rsidR="00EA596E">
        <w:rPr>
          <w:rFonts w:ascii="Arial" w:hAnsi="Arial" w:cs="Arial"/>
        </w:rPr>
        <w:t>, needs and context should be considered. This toolkit references 3 “category” of transition support that a child might need. Considering the “</w:t>
      </w:r>
      <w:r w:rsidR="002F634F">
        <w:rPr>
          <w:rFonts w:ascii="Arial" w:hAnsi="Arial" w:cs="Arial"/>
        </w:rPr>
        <w:t>category</w:t>
      </w:r>
      <w:r w:rsidR="00EA596E">
        <w:rPr>
          <w:rFonts w:ascii="Arial" w:hAnsi="Arial" w:cs="Arial"/>
        </w:rPr>
        <w:t>” of each child will help to focus the level of support that will be needed, but the overriding rule is that the needs of the individual child are paramount.</w:t>
      </w:r>
    </w:p>
    <w:p w14:paraId="39F1F905" w14:textId="2D9BDC75" w:rsidR="00087C43" w:rsidRPr="00911B16" w:rsidRDefault="00087C43" w:rsidP="00087C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96E" w14:paraId="37A64F25" w14:textId="77777777" w:rsidTr="00EA596E">
        <w:tc>
          <w:tcPr>
            <w:tcW w:w="9016" w:type="dxa"/>
            <w:shd w:val="clear" w:color="auto" w:fill="D9D9D9" w:themeFill="background1" w:themeFillShade="D9"/>
          </w:tcPr>
          <w:p w14:paraId="73F24388" w14:textId="77777777" w:rsidR="00EA596E" w:rsidRPr="00911B16" w:rsidRDefault="00EA596E" w:rsidP="00EA596E">
            <w:pPr>
              <w:rPr>
                <w:rFonts w:ascii="Arial" w:hAnsi="Arial" w:cs="Arial"/>
                <w:b/>
                <w:bCs/>
              </w:rPr>
            </w:pPr>
            <w:r w:rsidRPr="00911B16">
              <w:rPr>
                <w:rFonts w:ascii="Arial" w:hAnsi="Arial" w:cs="Arial"/>
                <w:b/>
                <w:bCs/>
              </w:rPr>
              <w:t>Universal Transition</w:t>
            </w:r>
            <w:r>
              <w:rPr>
                <w:rFonts w:ascii="Arial" w:hAnsi="Arial" w:cs="Arial"/>
                <w:b/>
                <w:bCs/>
              </w:rPr>
              <w:t xml:space="preserve"> Support</w:t>
            </w:r>
          </w:p>
          <w:p w14:paraId="2759B5F5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6E" w14:paraId="18186368" w14:textId="77777777" w:rsidTr="00333ACD">
        <w:tc>
          <w:tcPr>
            <w:tcW w:w="9016" w:type="dxa"/>
          </w:tcPr>
          <w:p w14:paraId="58690321" w14:textId="77777777" w:rsidR="00EA596E" w:rsidRDefault="00EA596E" w:rsidP="00EA596E">
            <w:pPr>
              <w:rPr>
                <w:rFonts w:ascii="Arial" w:hAnsi="Arial" w:cs="Arial"/>
              </w:rPr>
            </w:pPr>
          </w:p>
          <w:p w14:paraId="5AA518C7" w14:textId="013E91B8" w:rsidR="00EA596E" w:rsidRPr="00911B16" w:rsidRDefault="00EA596E" w:rsidP="00EA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the level of transition support that is expected for all children and all providers should follow the </w:t>
            </w:r>
            <w:r w:rsidRPr="00911B16">
              <w:rPr>
                <w:rFonts w:ascii="Arial" w:hAnsi="Arial" w:cs="Arial"/>
              </w:rPr>
              <w:t xml:space="preserve">agreed transfer processes. This level of support focuses on </w:t>
            </w:r>
            <w:proofErr w:type="gramStart"/>
            <w:r>
              <w:rPr>
                <w:rFonts w:ascii="Arial" w:hAnsi="Arial" w:cs="Arial"/>
              </w:rPr>
              <w:t>the majority of</w:t>
            </w:r>
            <w:proofErr w:type="gramEnd"/>
            <w:r>
              <w:rPr>
                <w:rFonts w:ascii="Arial" w:hAnsi="Arial" w:cs="Arial"/>
              </w:rPr>
              <w:t xml:space="preserve"> children and those with </w:t>
            </w:r>
            <w:r w:rsidRPr="00911B16">
              <w:rPr>
                <w:rFonts w:ascii="Arial" w:hAnsi="Arial" w:cs="Arial"/>
              </w:rPr>
              <w:t>‘mild’ levels of vulnerability at the time of transition e.g.</w:t>
            </w:r>
          </w:p>
          <w:p w14:paraId="0AB47A2A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>being known to become anxious in a social /new situation or where there has been a recent upset within the family</w:t>
            </w:r>
          </w:p>
          <w:p w14:paraId="48BF5800" w14:textId="7D3F7ADB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with a </w:t>
            </w:r>
            <w:r w:rsidR="002F634F" w:rsidRPr="00911B16">
              <w:rPr>
                <w:rFonts w:ascii="Arial" w:hAnsi="Arial" w:cs="Arial"/>
              </w:rPr>
              <w:t>short-term</w:t>
            </w:r>
            <w:r w:rsidRPr="00911B16">
              <w:rPr>
                <w:rFonts w:ascii="Arial" w:hAnsi="Arial" w:cs="Arial"/>
              </w:rPr>
              <w:t xml:space="preserve"> medical need </w:t>
            </w:r>
            <w:r w:rsidR="002F634F" w:rsidRPr="00911B16">
              <w:rPr>
                <w:rFonts w:ascii="Arial" w:hAnsi="Arial" w:cs="Arial"/>
              </w:rPr>
              <w:t>e.g.,</w:t>
            </w:r>
            <w:r w:rsidRPr="00911B16">
              <w:rPr>
                <w:rFonts w:ascii="Arial" w:hAnsi="Arial" w:cs="Arial"/>
              </w:rPr>
              <w:t xml:space="preserve"> broken limb</w:t>
            </w:r>
          </w:p>
          <w:p w14:paraId="6F9FE16C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>may be at SEN support within the setting</w:t>
            </w:r>
          </w:p>
          <w:p w14:paraId="023721CD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6E" w14:paraId="726CD5C2" w14:textId="77777777" w:rsidTr="00EA596E">
        <w:tc>
          <w:tcPr>
            <w:tcW w:w="9016" w:type="dxa"/>
            <w:shd w:val="clear" w:color="auto" w:fill="D9D9D9" w:themeFill="background1" w:themeFillShade="D9"/>
          </w:tcPr>
          <w:p w14:paraId="53DB1317" w14:textId="77777777" w:rsidR="00EA596E" w:rsidRPr="00911B16" w:rsidRDefault="00EA596E" w:rsidP="00EA596E">
            <w:pPr>
              <w:rPr>
                <w:rFonts w:ascii="Arial" w:hAnsi="Arial" w:cs="Arial"/>
                <w:b/>
                <w:bCs/>
              </w:rPr>
            </w:pPr>
            <w:r w:rsidRPr="00911B16">
              <w:rPr>
                <w:rFonts w:ascii="Arial" w:hAnsi="Arial" w:cs="Arial"/>
                <w:b/>
                <w:bCs/>
              </w:rPr>
              <w:t>Targeted Transition</w:t>
            </w:r>
            <w:r>
              <w:rPr>
                <w:rFonts w:ascii="Arial" w:hAnsi="Arial" w:cs="Arial"/>
                <w:b/>
                <w:bCs/>
              </w:rPr>
              <w:t xml:space="preserve"> Support</w:t>
            </w:r>
          </w:p>
          <w:p w14:paraId="7AAA4D85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6E" w14:paraId="52543D07" w14:textId="77777777" w:rsidTr="00333ACD">
        <w:tc>
          <w:tcPr>
            <w:tcW w:w="9016" w:type="dxa"/>
          </w:tcPr>
          <w:p w14:paraId="441674A7" w14:textId="77777777" w:rsidR="00EA596E" w:rsidRDefault="00EA596E" w:rsidP="00EA596E">
            <w:pPr>
              <w:rPr>
                <w:rFonts w:ascii="Arial" w:hAnsi="Arial" w:cs="Arial"/>
              </w:rPr>
            </w:pPr>
          </w:p>
          <w:p w14:paraId="02A617A3" w14:textId="4FA9E72C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This level of support focuses on ‘moderate’ levels of vulnerability. This may include a pupil who:</w:t>
            </w:r>
          </w:p>
          <w:p w14:paraId="38E57D7D" w14:textId="28C96B90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may be highly sensitive to change and exhibit distress at the point of transition </w:t>
            </w:r>
            <w:r w:rsidR="002F634F" w:rsidRPr="00911B16">
              <w:rPr>
                <w:rFonts w:ascii="Arial" w:hAnsi="Arial" w:cs="Arial"/>
              </w:rPr>
              <w:t>e.g.,</w:t>
            </w:r>
            <w:r w:rsidRPr="00911B16">
              <w:rPr>
                <w:rFonts w:ascii="Arial" w:hAnsi="Arial" w:cs="Arial"/>
              </w:rPr>
              <w:t xml:space="preserve"> daily within their routine </w:t>
            </w:r>
          </w:p>
          <w:p w14:paraId="570C03DF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may be looked after by the Local Authority (LAC) </w:t>
            </w:r>
          </w:p>
          <w:p w14:paraId="02FD5C3B" w14:textId="52B0CFAB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has long term medical needs </w:t>
            </w:r>
            <w:r w:rsidR="002F634F" w:rsidRPr="00911B16">
              <w:rPr>
                <w:rFonts w:ascii="Arial" w:hAnsi="Arial" w:cs="Arial"/>
              </w:rPr>
              <w:t>e.g.,</w:t>
            </w:r>
            <w:r w:rsidRPr="00911B16">
              <w:rPr>
                <w:rFonts w:ascii="Arial" w:hAnsi="Arial" w:cs="Arial"/>
              </w:rPr>
              <w:t xml:space="preserve"> diabetes</w:t>
            </w:r>
          </w:p>
          <w:p w14:paraId="4CC7EB38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>at SEN support (SEND Code of Practice 2015) with outside agencies involved</w:t>
            </w:r>
          </w:p>
          <w:p w14:paraId="545169CA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6E" w14:paraId="597B7D1F" w14:textId="77777777" w:rsidTr="00EA596E">
        <w:tc>
          <w:tcPr>
            <w:tcW w:w="9016" w:type="dxa"/>
            <w:shd w:val="clear" w:color="auto" w:fill="D9D9D9" w:themeFill="background1" w:themeFillShade="D9"/>
          </w:tcPr>
          <w:p w14:paraId="699E8419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  <w:r w:rsidRPr="00911B16">
              <w:rPr>
                <w:rFonts w:ascii="Arial" w:hAnsi="Arial" w:cs="Arial"/>
                <w:b/>
                <w:bCs/>
              </w:rPr>
              <w:t xml:space="preserve">Specialist Transition </w:t>
            </w:r>
            <w:r>
              <w:rPr>
                <w:rFonts w:ascii="Arial" w:hAnsi="Arial" w:cs="Arial"/>
                <w:b/>
                <w:bCs/>
              </w:rPr>
              <w:t>Support</w:t>
            </w:r>
          </w:p>
          <w:p w14:paraId="04B61CCC" w14:textId="7DF7AED0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6E" w14:paraId="3DE22CCF" w14:textId="77777777" w:rsidTr="00333ACD">
        <w:tc>
          <w:tcPr>
            <w:tcW w:w="9016" w:type="dxa"/>
          </w:tcPr>
          <w:p w14:paraId="29CFBEC6" w14:textId="77777777" w:rsidR="00EA596E" w:rsidRDefault="00EA596E" w:rsidP="00EA596E">
            <w:pPr>
              <w:rPr>
                <w:rFonts w:ascii="Arial" w:hAnsi="Arial" w:cs="Arial"/>
              </w:rPr>
            </w:pPr>
          </w:p>
          <w:p w14:paraId="493CB069" w14:textId="2C85F333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This level of support focuses on children with ‘severe, complex, persistent and enduring’ levels of vulnerability e.g.</w:t>
            </w:r>
          </w:p>
          <w:p w14:paraId="38489831" w14:textId="02DC6FE9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may be undergoing a Statutory assessment or has an Education Health and Care Plan (EHC) and may have complex medical needs with a care plan </w:t>
            </w:r>
            <w:r w:rsidR="002F634F" w:rsidRPr="00911B16">
              <w:rPr>
                <w:rFonts w:ascii="Arial" w:hAnsi="Arial" w:cs="Arial"/>
              </w:rPr>
              <w:t>e.g.,</w:t>
            </w:r>
            <w:r w:rsidRPr="00911B16">
              <w:rPr>
                <w:rFonts w:ascii="Arial" w:hAnsi="Arial" w:cs="Arial"/>
              </w:rPr>
              <w:t xml:space="preserve"> </w:t>
            </w:r>
            <w:proofErr w:type="gramStart"/>
            <w:r w:rsidRPr="00911B16">
              <w:rPr>
                <w:rFonts w:ascii="Arial" w:hAnsi="Arial" w:cs="Arial"/>
              </w:rPr>
              <w:t>profound</w:t>
            </w:r>
            <w:proofErr w:type="gramEnd"/>
            <w:r w:rsidRPr="00911B16">
              <w:rPr>
                <w:rFonts w:ascii="Arial" w:hAnsi="Arial" w:cs="Arial"/>
              </w:rPr>
              <w:t xml:space="preserve"> and multiple learning difficulties</w:t>
            </w:r>
          </w:p>
          <w:p w14:paraId="540366CB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 xml:space="preserve">is ‘looked after’ with more complex needs </w:t>
            </w:r>
          </w:p>
          <w:p w14:paraId="218B4F2B" w14:textId="77777777" w:rsidR="00EA596E" w:rsidRPr="00911B16" w:rsidRDefault="00EA596E" w:rsidP="00EA596E">
            <w:pPr>
              <w:rPr>
                <w:rFonts w:ascii="Arial" w:hAnsi="Arial" w:cs="Arial"/>
              </w:rPr>
            </w:pPr>
            <w:r w:rsidRPr="00911B16">
              <w:rPr>
                <w:rFonts w:ascii="Arial" w:hAnsi="Arial" w:cs="Arial"/>
              </w:rPr>
              <w:t>•</w:t>
            </w:r>
            <w:r w:rsidRPr="00911B16">
              <w:rPr>
                <w:rFonts w:ascii="Arial" w:hAnsi="Arial" w:cs="Arial"/>
              </w:rPr>
              <w:tab/>
              <w:t>presents with severe mental health and or behaviour difficulties</w:t>
            </w:r>
          </w:p>
          <w:p w14:paraId="717C053F" w14:textId="77777777" w:rsidR="00EA596E" w:rsidRDefault="00EA596E" w:rsidP="00333AC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EB049E" w14:textId="77777777" w:rsidR="00087C43" w:rsidRPr="00911B16" w:rsidRDefault="00087C43" w:rsidP="00087C43">
      <w:pPr>
        <w:rPr>
          <w:rFonts w:ascii="Arial" w:hAnsi="Arial" w:cs="Arial"/>
        </w:rPr>
      </w:pPr>
    </w:p>
    <w:p w14:paraId="6289B57D" w14:textId="77777777" w:rsidR="00087C43" w:rsidRPr="00911B16" w:rsidRDefault="00087C43" w:rsidP="00087C43">
      <w:pPr>
        <w:pStyle w:val="Heading3"/>
        <w:rPr>
          <w:rFonts w:ascii="Arial" w:hAnsi="Arial" w:cs="Arial"/>
          <w:color w:val="auto"/>
          <w:sz w:val="24"/>
          <w:szCs w:val="24"/>
        </w:rPr>
      </w:pPr>
    </w:p>
    <w:p w14:paraId="7844F91E" w14:textId="77777777" w:rsidR="00087C43" w:rsidRPr="00911B16" w:rsidRDefault="00087C43" w:rsidP="00087C43">
      <w:pPr>
        <w:pStyle w:val="Heading3"/>
        <w:rPr>
          <w:rFonts w:ascii="Arial" w:hAnsi="Arial" w:cs="Arial"/>
          <w:color w:val="auto"/>
          <w:sz w:val="24"/>
          <w:szCs w:val="24"/>
        </w:rPr>
      </w:pPr>
    </w:p>
    <w:p w14:paraId="6635A8C5" w14:textId="77777777" w:rsidR="002F634F" w:rsidRDefault="002F634F"/>
    <w:sectPr w:rsidR="00E6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43"/>
    <w:rsid w:val="00087C43"/>
    <w:rsid w:val="00113CFA"/>
    <w:rsid w:val="002F634F"/>
    <w:rsid w:val="0087426B"/>
    <w:rsid w:val="00E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C3E"/>
  <w15:chartTrackingRefBased/>
  <w15:docId w15:val="{BE9596B0-627E-413B-956F-AFB5687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43"/>
    <w:pPr>
      <w:spacing w:after="0" w:line="240" w:lineRule="auto"/>
    </w:pPr>
    <w:rPr>
      <w:rFonts w:cs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C43"/>
    <w:pPr>
      <w:outlineLvl w:val="2"/>
    </w:pPr>
    <w:rPr>
      <w:rFonts w:asciiTheme="majorHAnsi" w:hAnsiTheme="majorHAnsi" w:cstheme="majorHAnsi"/>
      <w:b/>
      <w:bCs/>
      <w:color w:val="842F7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7C43"/>
    <w:rPr>
      <w:rFonts w:asciiTheme="majorHAnsi" w:hAnsiTheme="majorHAnsi" w:cstheme="majorHAnsi"/>
      <w:b/>
      <w:bCs/>
      <w:color w:val="842F7E"/>
      <w:sz w:val="28"/>
      <w:szCs w:val="28"/>
    </w:rPr>
  </w:style>
  <w:style w:type="table" w:styleId="TableGrid">
    <w:name w:val="Table Grid"/>
    <w:basedOn w:val="TableNormal"/>
    <w:uiPriority w:val="39"/>
    <w:rsid w:val="00EA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Fessey, Stephen</cp:lastModifiedBy>
  <cp:revision>2</cp:revision>
  <dcterms:created xsi:type="dcterms:W3CDTF">2024-04-15T11:09:00Z</dcterms:created>
  <dcterms:modified xsi:type="dcterms:W3CDTF">2024-04-15T11:28:00Z</dcterms:modified>
</cp:coreProperties>
</file>